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F1" w:rsidRPr="00BA110B" w:rsidRDefault="00BA110B" w:rsidP="00BA110B">
      <w:pPr>
        <w:tabs>
          <w:tab w:val="left" w:pos="2100"/>
        </w:tabs>
        <w:spacing w:after="240"/>
        <w:jc w:val="center"/>
        <w:rPr>
          <w:sz w:val="28"/>
          <w:szCs w:val="28"/>
        </w:rPr>
      </w:pPr>
      <w:r w:rsidRPr="00BA110B">
        <w:rPr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:rsidR="007E5AF9" w:rsidRDefault="007E5AF9" w:rsidP="007E5AF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pacing w:val="-8"/>
          <w:lang w:val="uk-UA"/>
        </w:rPr>
      </w:pPr>
      <w:r>
        <w:rPr>
          <w:b/>
          <w:spacing w:val="-8"/>
          <w:lang w:val="uk-UA"/>
        </w:rPr>
        <w:t xml:space="preserve">Процедура закупівлі: </w:t>
      </w:r>
      <w:r w:rsidRPr="007E5AF9">
        <w:rPr>
          <w:b/>
          <w:i/>
          <w:spacing w:val="-8"/>
          <w:lang w:val="uk-UA"/>
        </w:rPr>
        <w:t>Відкриті торги з особливостями</w:t>
      </w:r>
    </w:p>
    <w:p w:rsidR="007E5AF9" w:rsidRDefault="007E5AF9" w:rsidP="007E5AF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-8"/>
          <w:lang w:val="uk-UA"/>
        </w:rPr>
      </w:pPr>
    </w:p>
    <w:p w:rsidR="00D631DA" w:rsidRPr="00D631DA" w:rsidRDefault="00D631DA" w:rsidP="00D631DA">
      <w:pPr>
        <w:pStyle w:val="rvps2"/>
        <w:jc w:val="both"/>
        <w:textAlignment w:val="baseline"/>
        <w:rPr>
          <w:b/>
          <w:spacing w:val="-8"/>
          <w:lang w:val="uk-UA"/>
        </w:rPr>
      </w:pPr>
      <w:r w:rsidRPr="00D631DA">
        <w:rPr>
          <w:b/>
          <w:bCs/>
          <w:spacing w:val="-8"/>
          <w:lang w:val="uk-UA"/>
        </w:rPr>
        <w:t>Ідентифікатор закупівлі:</w:t>
      </w:r>
      <w:r>
        <w:rPr>
          <w:b/>
          <w:bCs/>
          <w:spacing w:val="-8"/>
          <w:lang w:val="uk-UA"/>
        </w:rPr>
        <w:t xml:space="preserve"> </w:t>
      </w:r>
      <w:bookmarkStart w:id="0" w:name="_GoBack"/>
      <w:bookmarkEnd w:id="0"/>
      <w:r w:rsidRPr="00D631DA">
        <w:rPr>
          <w:b/>
          <w:spacing w:val="-8"/>
        </w:rPr>
        <w:t>UA</w:t>
      </w:r>
      <w:r w:rsidRPr="00D631DA">
        <w:rPr>
          <w:b/>
          <w:spacing w:val="-8"/>
          <w:lang w:val="uk-UA"/>
        </w:rPr>
        <w:t>-2023-10-27-006420-</w:t>
      </w:r>
      <w:r w:rsidRPr="00D631DA">
        <w:rPr>
          <w:b/>
          <w:spacing w:val="-8"/>
        </w:rPr>
        <w:t>a </w:t>
      </w:r>
      <w:hyperlink r:id="rId6" w:tgtFrame="_blank" w:history="1">
        <w:r w:rsidRPr="00D631DA">
          <w:rPr>
            <w:rStyle w:val="a7"/>
            <w:b/>
            <w:spacing w:val="-8"/>
            <w:lang w:val="uk-UA"/>
          </w:rPr>
          <w:t xml:space="preserve">Закупівля на </w:t>
        </w:r>
        <w:proofErr w:type="spellStart"/>
        <w:r w:rsidRPr="00D631DA">
          <w:rPr>
            <w:rStyle w:val="a7"/>
            <w:b/>
            <w:spacing w:val="-8"/>
          </w:rPr>
          <w:t>prozorro</w:t>
        </w:r>
        <w:proofErr w:type="spellEnd"/>
        <w:r w:rsidRPr="00D631DA">
          <w:rPr>
            <w:rStyle w:val="a7"/>
            <w:b/>
            <w:spacing w:val="-8"/>
            <w:lang w:val="uk-UA"/>
          </w:rPr>
          <w:t>.</w:t>
        </w:r>
        <w:proofErr w:type="spellStart"/>
        <w:r w:rsidRPr="00D631DA">
          <w:rPr>
            <w:rStyle w:val="a7"/>
            <w:b/>
            <w:spacing w:val="-8"/>
          </w:rPr>
          <w:t>gov</w:t>
        </w:r>
        <w:proofErr w:type="spellEnd"/>
        <w:r w:rsidRPr="00D631DA">
          <w:rPr>
            <w:rStyle w:val="a7"/>
            <w:b/>
            <w:spacing w:val="-8"/>
            <w:lang w:val="uk-UA"/>
          </w:rPr>
          <w:t>.</w:t>
        </w:r>
        <w:proofErr w:type="spellStart"/>
        <w:r w:rsidRPr="00D631DA">
          <w:rPr>
            <w:rStyle w:val="a7"/>
            <w:b/>
            <w:spacing w:val="-8"/>
          </w:rPr>
          <w:t>ua</w:t>
        </w:r>
        <w:proofErr w:type="spellEnd"/>
      </w:hyperlink>
    </w:p>
    <w:p w:rsidR="00301AEA" w:rsidRDefault="000332F1" w:rsidP="007E5AF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uk-UA"/>
        </w:rPr>
      </w:pPr>
      <w:r w:rsidRPr="009A2C98">
        <w:rPr>
          <w:b/>
          <w:spacing w:val="-8"/>
        </w:rPr>
        <w:t xml:space="preserve">код </w:t>
      </w:r>
      <w:r>
        <w:rPr>
          <w:b/>
          <w:spacing w:val="-8"/>
        </w:rPr>
        <w:t xml:space="preserve">ДК 021:2015 </w:t>
      </w:r>
      <w:r w:rsidRPr="002D6237">
        <w:rPr>
          <w:b/>
          <w:spacing w:val="-8"/>
        </w:rPr>
        <w:t xml:space="preserve">– </w:t>
      </w:r>
      <w:r w:rsidRPr="002D6237">
        <w:rPr>
          <w:b/>
          <w:color w:val="000000"/>
          <w:bdr w:val="none" w:sz="0" w:space="0" w:color="auto" w:frame="1"/>
          <w:shd w:val="clear" w:color="auto" w:fill="FDFEFD"/>
          <w:lang w:val="uk-UA"/>
        </w:rPr>
        <w:t>15880000-0</w:t>
      </w:r>
      <w:r w:rsidRPr="002D6237">
        <w:rPr>
          <w:rStyle w:val="apple-converted-space"/>
          <w:color w:val="777777"/>
          <w:shd w:val="clear" w:color="auto" w:fill="FDFEFD"/>
        </w:rPr>
        <w:t> </w:t>
      </w:r>
      <w:r w:rsidRPr="002D6237">
        <w:rPr>
          <w:b/>
          <w:color w:val="777777"/>
          <w:shd w:val="clear" w:color="auto" w:fill="FDFEFD"/>
          <w:lang w:val="uk-UA"/>
        </w:rPr>
        <w:t>-</w:t>
      </w:r>
      <w:r w:rsidRPr="002D6237">
        <w:rPr>
          <w:rStyle w:val="apple-converted-space"/>
          <w:color w:val="777777"/>
          <w:shd w:val="clear" w:color="auto" w:fill="FDFEFD"/>
        </w:rPr>
        <w:t> </w:t>
      </w:r>
      <w:proofErr w:type="gramStart"/>
      <w:r w:rsidRPr="002D6237">
        <w:rPr>
          <w:b/>
          <w:color w:val="000000"/>
          <w:bdr w:val="none" w:sz="0" w:space="0" w:color="auto" w:frame="1"/>
          <w:shd w:val="clear" w:color="auto" w:fill="FDFEFD"/>
          <w:lang w:val="uk-UA"/>
        </w:rPr>
        <w:t>Спец</w:t>
      </w:r>
      <w:proofErr w:type="gramEnd"/>
      <w:r w:rsidRPr="002D6237">
        <w:rPr>
          <w:b/>
          <w:color w:val="000000"/>
          <w:bdr w:val="none" w:sz="0" w:space="0" w:color="auto" w:frame="1"/>
          <w:shd w:val="clear" w:color="auto" w:fill="FDFEFD"/>
          <w:lang w:val="uk-UA"/>
        </w:rPr>
        <w:t>іальні продукти харчування, збагачені поживними речовинами</w:t>
      </w:r>
      <w:r w:rsidRPr="002D6237">
        <w:rPr>
          <w:b/>
          <w:lang w:val="uk-UA"/>
        </w:rPr>
        <w:t>.</w:t>
      </w:r>
    </w:p>
    <w:p w:rsidR="007E5AF9" w:rsidRDefault="007E5AF9" w:rsidP="007E5AF9">
      <w:pPr>
        <w:spacing w:before="100" w:beforeAutospacing="1" w:after="100" w:afterAutospacing="1"/>
        <w:jc w:val="both"/>
        <w:outlineLvl w:val="0"/>
        <w:rPr>
          <w:b/>
          <w:bCs/>
          <w:bdr w:val="none" w:sz="0" w:space="0" w:color="auto" w:frame="1"/>
        </w:rPr>
      </w:pPr>
      <w:r>
        <w:rPr>
          <w:b/>
          <w:bCs/>
          <w:kern w:val="36"/>
        </w:rPr>
        <w:t xml:space="preserve">Конкретна назва предмету закупівлі: </w:t>
      </w:r>
      <w:r w:rsidRPr="00CE6D33">
        <w:rPr>
          <w:b/>
          <w:bCs/>
          <w:kern w:val="36"/>
        </w:rPr>
        <w:t xml:space="preserve">Спеціальні продукти харчування, збагачені поживними речовинами (ФКУ Нутрі 3 Концентрат 500 гр. , ФКУ Нутрі 3 </w:t>
      </w:r>
      <w:proofErr w:type="spellStart"/>
      <w:r w:rsidRPr="00CE6D33">
        <w:rPr>
          <w:b/>
          <w:bCs/>
          <w:kern w:val="36"/>
        </w:rPr>
        <w:t>Енерджі</w:t>
      </w:r>
      <w:proofErr w:type="spellEnd"/>
      <w:r w:rsidRPr="00CE6D33">
        <w:rPr>
          <w:b/>
          <w:bCs/>
          <w:kern w:val="36"/>
        </w:rPr>
        <w:t xml:space="preserve"> 454 гр.) </w:t>
      </w:r>
      <w:r w:rsidRPr="00CE6D33">
        <w:rPr>
          <w:b/>
          <w:bCs/>
          <w:bdr w:val="none" w:sz="0" w:space="0" w:color="auto" w:frame="1"/>
        </w:rPr>
        <w:t xml:space="preserve">для хворих на </w:t>
      </w:r>
      <w:proofErr w:type="spellStart"/>
      <w:r w:rsidRPr="00CE6D33">
        <w:rPr>
          <w:b/>
          <w:bCs/>
          <w:bdr w:val="none" w:sz="0" w:space="0" w:color="auto" w:frame="1"/>
        </w:rPr>
        <w:t>фенілкетонурію</w:t>
      </w:r>
      <w:proofErr w:type="spellEnd"/>
      <w:r>
        <w:rPr>
          <w:b/>
          <w:bCs/>
          <w:bdr w:val="none" w:sz="0" w:space="0" w:color="auto" w:frame="1"/>
        </w:rPr>
        <w:t>.</w:t>
      </w:r>
    </w:p>
    <w:p w:rsidR="007E5AF9" w:rsidRPr="00CE6D33" w:rsidRDefault="007E5AF9" w:rsidP="007E5AF9">
      <w:p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>
        <w:rPr>
          <w:b/>
          <w:bCs/>
          <w:bdr w:val="none" w:sz="0" w:space="0" w:color="auto" w:frame="1"/>
        </w:rPr>
        <w:t>П</w:t>
      </w:r>
      <w:r w:rsidRPr="00CE6D33">
        <w:rPr>
          <w:b/>
        </w:rPr>
        <w:t>оставляються з наступними параметрами</w:t>
      </w:r>
      <w:r w:rsidRPr="00075A0A">
        <w:rPr>
          <w:b/>
        </w:rPr>
        <w:t>:</w:t>
      </w:r>
      <w:r w:rsidRPr="00CE6D33">
        <w:rPr>
          <w:b/>
        </w:rPr>
        <w:t xml:space="preserve"> </w:t>
      </w:r>
      <w:r w:rsidRPr="00CE6D33">
        <w:rPr>
          <w:b/>
          <w:i/>
        </w:rPr>
        <w:t>Пропонований продукт повинен відповідати нижченаведеним вимогам, з урахуванням Наказу МОЗ України від 17.12.2019 № 2498</w:t>
      </w:r>
    </w:p>
    <w:p w:rsidR="007E5AF9" w:rsidRPr="00CE6D33" w:rsidRDefault="007E5AF9" w:rsidP="007E5AF9">
      <w:pPr>
        <w:rPr>
          <w:rFonts w:eastAsia="Tahoma"/>
          <w:b/>
          <w:color w:val="00000A"/>
          <w:lang w:eastAsia="zh-CN" w:bidi="hi-IN"/>
        </w:rPr>
      </w:pPr>
      <w:r w:rsidRPr="00CE6D33">
        <w:rPr>
          <w:rFonts w:eastAsia="Tahoma"/>
          <w:b/>
          <w:color w:val="00000A"/>
          <w:lang w:eastAsia="zh-CN" w:bidi="hi-IN"/>
        </w:rPr>
        <w:t>ФКУ Нутрі 3 Концентрат  (або еквівалент)</w:t>
      </w:r>
    </w:p>
    <w:p w:rsidR="007E5AF9" w:rsidRPr="00CE6D33" w:rsidRDefault="007E5AF9" w:rsidP="007E5AF9">
      <w:pPr>
        <w:jc w:val="both"/>
        <w:rPr>
          <w:i/>
        </w:rPr>
      </w:pPr>
      <w:r w:rsidRPr="00CE6D33">
        <w:rPr>
          <w:b/>
        </w:rPr>
        <w:t xml:space="preserve">Загальна кількість харчового продукту має складати 3500 грам* </w:t>
      </w:r>
      <w:r w:rsidRPr="00CE6D33">
        <w:rPr>
          <w:i/>
        </w:rPr>
        <w:t>(*допустимі незначні відхилення)</w:t>
      </w:r>
    </w:p>
    <w:p w:rsidR="007E5AF9" w:rsidRPr="00CE6D33" w:rsidRDefault="007E5AF9" w:rsidP="007E5AF9">
      <w:pPr>
        <w:suppressAutoHyphens/>
        <w:ind w:firstLine="709"/>
        <w:jc w:val="both"/>
        <w:rPr>
          <w:rFonts w:eastAsia="Calibri" w:cs="Calibri"/>
          <w:lang w:eastAsia="ar-SA"/>
        </w:rPr>
      </w:pPr>
      <w:r w:rsidRPr="00CE6D33">
        <w:rPr>
          <w:rFonts w:eastAsia="Calibri" w:cs="Calibri"/>
          <w:lang w:eastAsia="ar-SA"/>
        </w:rPr>
        <w:t>Концентрована суміш, адаптована до вікової категорії хворих,  в значній мірі задовольняє потребу організму в білку без фенілаланіну. Ні призводить до збільшення обсягу їжі, має низькою калорійністю.</w:t>
      </w:r>
    </w:p>
    <w:p w:rsidR="007E5AF9" w:rsidRPr="00CE6D33" w:rsidRDefault="007E5AF9" w:rsidP="007E5AF9">
      <w:pPr>
        <w:suppressAutoHyphens/>
        <w:jc w:val="both"/>
        <w:rPr>
          <w:rFonts w:eastAsia="Calibri" w:cs="Calibri"/>
          <w:lang w:eastAsia="ar-SA"/>
        </w:rPr>
      </w:pPr>
      <w:r w:rsidRPr="00CE6D33">
        <w:rPr>
          <w:rFonts w:eastAsia="Calibri" w:cs="Calibri"/>
          <w:b/>
          <w:lang w:eastAsia="ar-SA"/>
        </w:rPr>
        <w:tab/>
      </w:r>
      <w:r w:rsidRPr="00CE6D33">
        <w:rPr>
          <w:rFonts w:eastAsia="Calibri" w:cs="Calibri"/>
          <w:lang w:eastAsia="ar-SA"/>
        </w:rPr>
        <w:t xml:space="preserve">Орієнтовні критерії підбору спеціальних продуктів лікувального харчування для дітей, хворих на </w:t>
      </w:r>
      <w:proofErr w:type="spellStart"/>
      <w:r w:rsidRPr="00CE6D33">
        <w:rPr>
          <w:rFonts w:eastAsia="Calibri" w:cs="Calibri"/>
          <w:lang w:eastAsia="ar-SA"/>
        </w:rPr>
        <w:t>фенілкетонурію</w:t>
      </w:r>
      <w:proofErr w:type="spellEnd"/>
      <w:r w:rsidRPr="00CE6D33">
        <w:rPr>
          <w:rFonts w:eastAsia="Calibri" w:cs="Calibri"/>
          <w:lang w:eastAsia="ar-SA"/>
        </w:rPr>
        <w:t xml:space="preserve"> від 8 років, що розроблені на основі Наказу Міністерства охорони України №</w:t>
      </w:r>
      <w:r w:rsidRPr="00075A0A">
        <w:rPr>
          <w:rFonts w:eastAsia="Calibri" w:cs="Calibri"/>
          <w:lang w:eastAsia="ar-SA"/>
        </w:rPr>
        <w:t>2498</w:t>
      </w:r>
      <w:r w:rsidRPr="00CE6D33">
        <w:rPr>
          <w:rFonts w:eastAsia="Calibri" w:cs="Calibri"/>
          <w:lang w:eastAsia="ar-SA"/>
        </w:rPr>
        <w:t xml:space="preserve"> від </w:t>
      </w:r>
      <w:r w:rsidRPr="00075A0A">
        <w:rPr>
          <w:rFonts w:eastAsia="Calibri" w:cs="Calibri"/>
          <w:lang w:eastAsia="ar-SA"/>
        </w:rPr>
        <w:t>17 грудня 2019 року</w:t>
      </w:r>
      <w:r w:rsidRPr="00CE6D33">
        <w:rPr>
          <w:rFonts w:eastAsia="Calibri" w:cs="Calibri"/>
          <w:lang w:eastAsia="ar-SA"/>
        </w:rPr>
        <w:t xml:space="preserve"> «</w:t>
      </w:r>
      <w:r w:rsidRPr="00075A0A">
        <w:rPr>
          <w:rFonts w:eastAsia="Calibri" w:cs="Calibri"/>
          <w:lang w:eastAsia="ar-SA"/>
        </w:rPr>
        <w:t xml:space="preserve">Про затвердження методичних рекомендацій з планування та розрахунку потреби в лікарських засобах, продуктах спеціального харчування та виробах медичного призначення, що </w:t>
      </w:r>
      <w:proofErr w:type="spellStart"/>
      <w:r w:rsidRPr="00075A0A">
        <w:rPr>
          <w:rFonts w:eastAsia="Calibri" w:cs="Calibri"/>
          <w:lang w:eastAsia="ar-SA"/>
        </w:rPr>
        <w:t>закуповуються</w:t>
      </w:r>
      <w:proofErr w:type="spellEnd"/>
      <w:r w:rsidRPr="00075A0A">
        <w:rPr>
          <w:rFonts w:eastAsia="Calibri" w:cs="Calibri"/>
          <w:lang w:eastAsia="ar-SA"/>
        </w:rPr>
        <w:t xml:space="preserve"> за рахунок коштів державного та місцевого бюджетів</w:t>
      </w:r>
      <w:r w:rsidRPr="00CE6D33">
        <w:rPr>
          <w:rFonts w:eastAsia="Calibri" w:cs="Calibri"/>
          <w:lang w:eastAsia="ar-SA"/>
        </w:rPr>
        <w:t>»: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  <w:jc w:val="both"/>
      </w:pPr>
      <w:r w:rsidRPr="00CE6D33">
        <w:t>Вміст білка (в еквіваленті) у 100 грамах сухого продукту не більше 7</w:t>
      </w:r>
      <w:r w:rsidRPr="00075A0A">
        <w:t>5</w:t>
      </w:r>
      <w:r w:rsidRPr="00CE6D33">
        <w:t xml:space="preserve"> грам.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  <w:jc w:val="both"/>
      </w:pPr>
      <w:r w:rsidRPr="00CE6D33">
        <w:t>Призначений для дітей від 8 років та дорослих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</w:pPr>
      <w:r w:rsidRPr="00CE6D33">
        <w:t>Набір амінокислот (кількість) в суміші - найвищий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</w:pPr>
      <w:r w:rsidRPr="00CE6D33">
        <w:t xml:space="preserve">Вміст суми незамінних та </w:t>
      </w:r>
      <w:proofErr w:type="spellStart"/>
      <w:r w:rsidRPr="00CE6D33">
        <w:t>напівзамінних</w:t>
      </w:r>
      <w:proofErr w:type="spellEnd"/>
      <w:r w:rsidRPr="00CE6D33">
        <w:t xml:space="preserve"> амінокислот (г) в </w:t>
      </w:r>
      <w:smartTag w:uri="urn:schemas-microsoft-com:office:smarttags" w:element="metricconverter">
        <w:smartTagPr>
          <w:attr w:name="ProductID" w:val="100 г"/>
        </w:smartTagPr>
        <w:r w:rsidRPr="00CE6D33">
          <w:t>100 г</w:t>
        </w:r>
      </w:smartTag>
      <w:r w:rsidRPr="00CE6D33">
        <w:t xml:space="preserve"> білка – оптимальний, що адаптований до вікової категорії хворого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</w:pPr>
      <w:r w:rsidRPr="00CE6D33">
        <w:t>Вуглеводний комплекс забезпечено за рахунок моносахаридів та полісахаридів при мінімальному вмісті сахарози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</w:pPr>
      <w:r w:rsidRPr="00CE6D33">
        <w:t>Присутність фенілаланіну не допускається.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</w:pPr>
      <w:r w:rsidRPr="00CE6D33">
        <w:t xml:space="preserve">Вміст суми амінокислот, які вміщують сірку (метіонін та цистеїн), (г) в </w:t>
      </w:r>
      <w:smartTag w:uri="urn:schemas-microsoft-com:office:smarttags" w:element="metricconverter">
        <w:smartTagPr>
          <w:attr w:name="ProductID" w:val="100 г"/>
        </w:smartTagPr>
        <w:r w:rsidRPr="00CE6D33">
          <w:t>100 г</w:t>
        </w:r>
      </w:smartTag>
      <w:r w:rsidRPr="00CE6D33">
        <w:t xml:space="preserve"> білка – оптимальний, що адаптований до вікової категорії хворого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</w:pPr>
      <w:r w:rsidRPr="00CE6D33">
        <w:t xml:space="preserve">Вміст тирозину (г) в </w:t>
      </w:r>
      <w:smartTag w:uri="urn:schemas-microsoft-com:office:smarttags" w:element="metricconverter">
        <w:smartTagPr>
          <w:attr w:name="ProductID" w:val="100 г"/>
        </w:smartTagPr>
        <w:r w:rsidRPr="00CE6D33">
          <w:t>100 г</w:t>
        </w:r>
      </w:smartTag>
      <w:r w:rsidRPr="00CE6D33">
        <w:t xml:space="preserve"> білка – оптимальний, що адаптований до вікової категорії хворого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</w:pPr>
      <w:r w:rsidRPr="00CE6D33">
        <w:t>Наявність в суміші необхідних мінеральних речовин, мікроелементів і вітамінів у збалансованій кількості</w:t>
      </w:r>
    </w:p>
    <w:p w:rsidR="007E5AF9" w:rsidRPr="00CE6D33" w:rsidRDefault="007E5AF9" w:rsidP="007E5AF9">
      <w:pPr>
        <w:numPr>
          <w:ilvl w:val="0"/>
          <w:numId w:val="1"/>
        </w:numPr>
        <w:ind w:left="29" w:firstLine="142"/>
        <w:contextualSpacing/>
        <w:jc w:val="both"/>
      </w:pPr>
      <w:r w:rsidRPr="00CE6D33">
        <w:t>Продукт повинен бути вироблений з дотриманням умов належного виробництва та бути безпечним для використання.</w:t>
      </w:r>
    </w:p>
    <w:p w:rsidR="007E5AF9" w:rsidRPr="00CE6D33" w:rsidRDefault="007E5AF9" w:rsidP="007E5AF9">
      <w:pPr>
        <w:ind w:left="171"/>
        <w:contextualSpacing/>
        <w:jc w:val="both"/>
      </w:pPr>
    </w:p>
    <w:p w:rsidR="007E5AF9" w:rsidRPr="00CE6D33" w:rsidRDefault="007E5AF9" w:rsidP="007E5AF9">
      <w:pPr>
        <w:shd w:val="clear" w:color="auto" w:fill="FFFFFF"/>
        <w:tabs>
          <w:tab w:val="left" w:pos="230"/>
        </w:tabs>
        <w:autoSpaceDN w:val="0"/>
        <w:adjustRightInd w:val="0"/>
        <w:jc w:val="both"/>
        <w:rPr>
          <w:bCs/>
          <w:i/>
          <w:u w:val="single"/>
        </w:rPr>
      </w:pPr>
      <w:r w:rsidRPr="00CE6D33">
        <w:rPr>
          <w:b/>
          <w:color w:val="333333"/>
        </w:rPr>
        <w:t xml:space="preserve">ФКУ Нутрі 3 </w:t>
      </w:r>
      <w:proofErr w:type="spellStart"/>
      <w:r w:rsidRPr="00CE6D33">
        <w:rPr>
          <w:b/>
          <w:color w:val="333333"/>
        </w:rPr>
        <w:t>Енерджі</w:t>
      </w:r>
      <w:proofErr w:type="spellEnd"/>
      <w:r w:rsidRPr="00CE6D33">
        <w:rPr>
          <w:b/>
          <w:color w:val="333333"/>
        </w:rPr>
        <w:t xml:space="preserve"> Харчовий продукт для спеціальних медичних цілей: для дітей від 9 років та дорослих та вагітних, хворих на </w:t>
      </w:r>
      <w:proofErr w:type="spellStart"/>
      <w:r w:rsidRPr="00CE6D33">
        <w:rPr>
          <w:b/>
          <w:color w:val="333333"/>
        </w:rPr>
        <w:t>фенілкетонурію</w:t>
      </w:r>
      <w:proofErr w:type="spellEnd"/>
      <w:r w:rsidRPr="00CE6D33">
        <w:rPr>
          <w:b/>
          <w:color w:val="333333"/>
        </w:rPr>
        <w:t xml:space="preserve">  </w:t>
      </w:r>
      <w:r w:rsidRPr="00CE6D33">
        <w:rPr>
          <w:bCs/>
          <w:i/>
          <w:u w:val="single"/>
        </w:rPr>
        <w:t>(або еквівалент)</w:t>
      </w:r>
    </w:p>
    <w:p w:rsidR="007E5AF9" w:rsidRPr="00CE6D33" w:rsidRDefault="007E5AF9" w:rsidP="007E5AF9">
      <w:pPr>
        <w:jc w:val="both"/>
        <w:rPr>
          <w:i/>
        </w:rPr>
      </w:pPr>
      <w:r w:rsidRPr="00CE6D33">
        <w:rPr>
          <w:b/>
        </w:rPr>
        <w:t xml:space="preserve">Загальна кількість харчового продукту має складати 3178 грам* </w:t>
      </w:r>
      <w:r w:rsidRPr="00CE6D33">
        <w:rPr>
          <w:i/>
        </w:rPr>
        <w:t>(*допустимі незначні відхилення)</w:t>
      </w:r>
    </w:p>
    <w:p w:rsidR="007E5AF9" w:rsidRPr="00CE6D33" w:rsidRDefault="007E5AF9" w:rsidP="007E5AF9">
      <w:pPr>
        <w:numPr>
          <w:ilvl w:val="0"/>
          <w:numId w:val="6"/>
        </w:numPr>
        <w:contextualSpacing/>
        <w:jc w:val="both"/>
      </w:pPr>
      <w:r w:rsidRPr="00CE6D33">
        <w:t>Вміст білка (в еквіваленті) у 100 грамах сухого продукту не більше 36 грам.</w:t>
      </w:r>
    </w:p>
    <w:p w:rsidR="007E5AF9" w:rsidRPr="00CE6D33" w:rsidRDefault="007E5AF9" w:rsidP="007E5AF9">
      <w:pPr>
        <w:numPr>
          <w:ilvl w:val="0"/>
          <w:numId w:val="6"/>
        </w:numPr>
        <w:contextualSpacing/>
        <w:jc w:val="both"/>
      </w:pPr>
      <w:r w:rsidRPr="00CE6D33">
        <w:t>Призначений для дітей від 9 років та дорослих, в тому числі для вагітних.</w:t>
      </w:r>
    </w:p>
    <w:p w:rsidR="007E5AF9" w:rsidRPr="00CE6D33" w:rsidRDefault="007E5AF9" w:rsidP="007E5AF9">
      <w:pPr>
        <w:numPr>
          <w:ilvl w:val="0"/>
          <w:numId w:val="6"/>
        </w:numPr>
        <w:contextualSpacing/>
      </w:pPr>
      <w:r w:rsidRPr="00CE6D33">
        <w:t>Набір амінокислот (</w:t>
      </w:r>
      <w:proofErr w:type="spellStart"/>
      <w:r w:rsidRPr="00CE6D33">
        <w:t>кількость</w:t>
      </w:r>
      <w:proofErr w:type="spellEnd"/>
      <w:r w:rsidRPr="00CE6D33">
        <w:t>) в суміші - найвищий</w:t>
      </w:r>
    </w:p>
    <w:p w:rsidR="007E5AF9" w:rsidRPr="00CE6D33" w:rsidRDefault="007E5AF9" w:rsidP="007E5AF9">
      <w:pPr>
        <w:numPr>
          <w:ilvl w:val="0"/>
          <w:numId w:val="6"/>
        </w:numPr>
        <w:contextualSpacing/>
      </w:pPr>
      <w:r w:rsidRPr="00CE6D33">
        <w:t xml:space="preserve">Вміст суми незамінних та </w:t>
      </w:r>
      <w:proofErr w:type="spellStart"/>
      <w:r w:rsidRPr="00CE6D33">
        <w:t>напівзамінних</w:t>
      </w:r>
      <w:proofErr w:type="spellEnd"/>
      <w:r w:rsidRPr="00CE6D33">
        <w:t xml:space="preserve"> амінокислот (г) в 100 г білка – оптимальний, що адаптований до вікової категорії хворого</w:t>
      </w:r>
    </w:p>
    <w:p w:rsidR="007E5AF9" w:rsidRPr="00CE6D33" w:rsidRDefault="007E5AF9" w:rsidP="007E5AF9">
      <w:pPr>
        <w:numPr>
          <w:ilvl w:val="0"/>
          <w:numId w:val="6"/>
        </w:numPr>
        <w:contextualSpacing/>
      </w:pPr>
      <w:r w:rsidRPr="00CE6D33">
        <w:t>Вуглеводний комплекс забезпечено за рахунок моносахаридів та полісахаридів при мінімальному вмісті сахарози</w:t>
      </w:r>
    </w:p>
    <w:p w:rsidR="007E5AF9" w:rsidRPr="00CE6D33" w:rsidRDefault="007E5AF9" w:rsidP="007E5AF9">
      <w:pPr>
        <w:numPr>
          <w:ilvl w:val="0"/>
          <w:numId w:val="6"/>
        </w:numPr>
        <w:contextualSpacing/>
      </w:pPr>
      <w:bookmarkStart w:id="1" w:name="_Hlk35336823"/>
      <w:r w:rsidRPr="00CE6D33">
        <w:lastRenderedPageBreak/>
        <w:t xml:space="preserve">Присутність фенілаланіну не допускається. </w:t>
      </w:r>
    </w:p>
    <w:bookmarkEnd w:id="1"/>
    <w:p w:rsidR="007E5AF9" w:rsidRPr="00CE6D33" w:rsidRDefault="007E5AF9" w:rsidP="007E5AF9">
      <w:pPr>
        <w:numPr>
          <w:ilvl w:val="0"/>
          <w:numId w:val="6"/>
        </w:numPr>
        <w:contextualSpacing/>
      </w:pPr>
      <w:r w:rsidRPr="00CE6D33">
        <w:t>Вміст суми амінокислот, які вміщують сірку (метіонін та цистеїн), (г) в 100 г білка – оптимальний, що адаптований до вікової категорії хворого</w:t>
      </w:r>
    </w:p>
    <w:p w:rsidR="007E5AF9" w:rsidRPr="00CE6D33" w:rsidRDefault="007E5AF9" w:rsidP="007E5AF9">
      <w:pPr>
        <w:numPr>
          <w:ilvl w:val="0"/>
          <w:numId w:val="6"/>
        </w:numPr>
        <w:contextualSpacing/>
      </w:pPr>
      <w:r w:rsidRPr="00CE6D33">
        <w:t>Вміст тирозину (г) в 100 г білка – оптимальний, що адаптований до вікової категорії хворого</w:t>
      </w:r>
    </w:p>
    <w:p w:rsidR="007E5AF9" w:rsidRPr="00CE6D33" w:rsidRDefault="007E5AF9" w:rsidP="007E5AF9">
      <w:pPr>
        <w:numPr>
          <w:ilvl w:val="0"/>
          <w:numId w:val="6"/>
        </w:numPr>
        <w:contextualSpacing/>
      </w:pPr>
      <w:r w:rsidRPr="00CE6D33">
        <w:t>Наявність в суміші необхідних мінеральних речовин, мікроелементів і вітамінів у збалансованій кількості</w:t>
      </w:r>
    </w:p>
    <w:p w:rsidR="007E5AF9" w:rsidRPr="00CE6D33" w:rsidRDefault="007E5AF9" w:rsidP="007E5AF9">
      <w:pPr>
        <w:numPr>
          <w:ilvl w:val="0"/>
          <w:numId w:val="6"/>
        </w:numPr>
        <w:contextualSpacing/>
        <w:jc w:val="both"/>
      </w:pPr>
      <w:r w:rsidRPr="00CE6D33">
        <w:t>Продукт повинен бути вироблений з дотриманням умов належного виробництва та бути безпечним для використання.</w:t>
      </w:r>
    </w:p>
    <w:p w:rsidR="00CB1EC8" w:rsidRPr="00413BFF" w:rsidRDefault="00CB1EC8" w:rsidP="00CB1EC8">
      <w:pPr>
        <w:ind w:left="142" w:firstLine="425"/>
        <w:jc w:val="both"/>
        <w:rPr>
          <w:b/>
          <w:bCs/>
        </w:rPr>
      </w:pPr>
      <w:r w:rsidRPr="00413BFF">
        <w:rPr>
          <w:b/>
          <w:bCs/>
        </w:rPr>
        <w:t>Загальні вимоги до товару:</w:t>
      </w:r>
    </w:p>
    <w:p w:rsidR="007E5AF9" w:rsidRPr="00075A0A" w:rsidRDefault="007E5AF9" w:rsidP="007E5AF9">
      <w:pPr>
        <w:ind w:firstLine="708"/>
        <w:jc w:val="both"/>
      </w:pPr>
      <w:r>
        <w:rPr>
          <w:color w:val="000000"/>
        </w:rPr>
        <w:t xml:space="preserve">1. </w:t>
      </w:r>
      <w:r w:rsidRPr="00075A0A">
        <w:rPr>
          <w:color w:val="000000"/>
        </w:rPr>
        <w:t>Для підтвердження якості товару учасник</w:t>
      </w:r>
      <w:r>
        <w:rPr>
          <w:color w:val="000000"/>
        </w:rPr>
        <w:t xml:space="preserve"> торгів</w:t>
      </w:r>
      <w:r w:rsidRPr="00075A0A">
        <w:rPr>
          <w:color w:val="000000"/>
        </w:rPr>
        <w:t xml:space="preserve"> надає копію сертифіката відповідності спеціальних харчових продуктів або копію документу щодо відповідності товарів вимогам діючого санітарного законодавства, у разі якщо ця норма є обов’язковою відповідно до норм діючого законодавства.</w:t>
      </w:r>
    </w:p>
    <w:p w:rsidR="007E5AF9" w:rsidRPr="00075A0A" w:rsidRDefault="007E5AF9" w:rsidP="007E5AF9">
      <w:pPr>
        <w:ind w:firstLine="708"/>
        <w:jc w:val="both"/>
      </w:pPr>
      <w:r w:rsidRPr="00075A0A">
        <w:rPr>
          <w:color w:val="000000"/>
        </w:rPr>
        <w:t>2. Товар повинен мати підтвердження якості виробничого процесу даних продуктів. Для підтвердження учасник надає копію міжнародного сертифікату якості на товар, у разі якщо ця норма є обов’язковою відповідно до норм діючого законодавства.</w:t>
      </w:r>
    </w:p>
    <w:p w:rsidR="007E5AF9" w:rsidRPr="00075A0A" w:rsidRDefault="007E5AF9" w:rsidP="007E5AF9">
      <w:pPr>
        <w:ind w:firstLine="708"/>
        <w:jc w:val="both"/>
      </w:pPr>
      <w:r w:rsidRPr="00075A0A">
        <w:rPr>
          <w:color w:val="000000"/>
        </w:rPr>
        <w:t>3. Товар повинен мати інструкцію (текст етикетування) з його застосування. Для підтвердження учасник надає копію інструкції (тексту етикетування) з використання.</w:t>
      </w:r>
    </w:p>
    <w:p w:rsidR="007E5AF9" w:rsidRPr="00075A0A" w:rsidRDefault="007E5AF9" w:rsidP="007E5AF9">
      <w:pPr>
        <w:ind w:firstLine="708"/>
        <w:jc w:val="both"/>
      </w:pPr>
      <w:r w:rsidRPr="00075A0A">
        <w:rPr>
          <w:color w:val="000000"/>
        </w:rPr>
        <w:t>4. Товар має бути новим, якісним, герметично упакованим, на упаковці  зазначається: назва товару, логотип фірми-виробника, країна виробника, умови зберігання, правила користування.</w:t>
      </w:r>
    </w:p>
    <w:p w:rsidR="007E5AF9" w:rsidRPr="00075A0A" w:rsidRDefault="007E5AF9" w:rsidP="007E5AF9">
      <w:pPr>
        <w:tabs>
          <w:tab w:val="left" w:pos="1134"/>
        </w:tabs>
        <w:ind w:firstLine="709"/>
        <w:jc w:val="both"/>
      </w:pPr>
      <w:r w:rsidRPr="00075A0A">
        <w:rPr>
          <w:color w:val="000000"/>
        </w:rPr>
        <w:t>5. Термін придатності до закінчення реалізації повинен складати не менше 75% від основного терміну придатності.</w:t>
      </w:r>
    </w:p>
    <w:p w:rsidR="007E5AF9" w:rsidRPr="00CE6D33" w:rsidRDefault="007E5AF9" w:rsidP="007E5AF9">
      <w:pPr>
        <w:spacing w:after="120"/>
        <w:ind w:firstLine="709"/>
        <w:jc w:val="both"/>
        <w:rPr>
          <w:b/>
          <w:lang w:eastAsia="en-US"/>
        </w:rPr>
      </w:pPr>
      <w:r w:rsidRPr="00075A0A">
        <w:rPr>
          <w:color w:val="000000"/>
        </w:rPr>
        <w:t>6. У разі, якщо Учасник пропонує до закупівлі еквівалент, він зобов’язаний надати висновок про еквівалентність, який виданий</w:t>
      </w:r>
      <w:r w:rsidRPr="00075A0A">
        <w:rPr>
          <w:color w:val="000000"/>
          <w:shd w:val="clear" w:color="auto" w:fill="FFFFFF"/>
        </w:rPr>
        <w:t xml:space="preserve"> державною установою, яка акредитована на проведення робіт із гігієнічної регламентації</w:t>
      </w:r>
      <w:r w:rsidRPr="00075A0A">
        <w:rPr>
          <w:color w:val="000000"/>
        </w:rPr>
        <w:t>.</w:t>
      </w:r>
    </w:p>
    <w:p w:rsidR="00301AEA" w:rsidRPr="0045355E" w:rsidRDefault="00301AEA" w:rsidP="00301AEA">
      <w:pPr>
        <w:rPr>
          <w:b/>
          <w:lang w:eastAsia="en-US"/>
        </w:rPr>
      </w:pPr>
    </w:p>
    <w:p w:rsidR="00301AEA" w:rsidRPr="0045355E" w:rsidRDefault="00BA110B" w:rsidP="00301AEA">
      <w:pPr>
        <w:ind w:firstLine="708"/>
        <w:rPr>
          <w:b/>
          <w:lang w:eastAsia="en-US"/>
        </w:rPr>
      </w:pPr>
      <w:r>
        <w:rPr>
          <w:b/>
          <w:lang w:eastAsia="en-US"/>
        </w:rPr>
        <w:t xml:space="preserve"> Опис предмета закупівлі</w:t>
      </w:r>
    </w:p>
    <w:tbl>
      <w:tblPr>
        <w:tblW w:w="10124" w:type="dxa"/>
        <w:jc w:val="center"/>
        <w:tblLook w:val="0000" w:firstRow="0" w:lastRow="0" w:firstColumn="0" w:lastColumn="0" w:noHBand="0" w:noVBand="0"/>
      </w:tblPr>
      <w:tblGrid>
        <w:gridCol w:w="762"/>
        <w:gridCol w:w="5588"/>
        <w:gridCol w:w="1413"/>
        <w:gridCol w:w="2361"/>
      </w:tblGrid>
      <w:tr w:rsidR="007E5AF9" w:rsidRPr="00CE6D33" w:rsidTr="00F67860">
        <w:trPr>
          <w:trHeight w:val="36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9" w:rsidRPr="00CE6D33" w:rsidRDefault="007E5AF9" w:rsidP="00F67860">
            <w:pPr>
              <w:jc w:val="center"/>
            </w:pPr>
            <w:proofErr w:type="spellStart"/>
            <w:r w:rsidRPr="00CE6D33">
              <w:t>№пп</w:t>
            </w:r>
            <w:proofErr w:type="spellEnd"/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9" w:rsidRPr="00CE6D33" w:rsidRDefault="007E5AF9" w:rsidP="00F67860">
            <w:pPr>
              <w:jc w:val="center"/>
            </w:pPr>
            <w:r w:rsidRPr="00CE6D33">
              <w:t>Назва товару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9" w:rsidRPr="00CE6D33" w:rsidRDefault="007E5AF9" w:rsidP="00F67860">
            <w:pPr>
              <w:jc w:val="center"/>
            </w:pPr>
            <w:r w:rsidRPr="00CE6D33">
              <w:t>Одиниці виміру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9" w:rsidRPr="00CE6D33" w:rsidRDefault="007E5AF9" w:rsidP="00F67860">
            <w:pPr>
              <w:jc w:val="center"/>
            </w:pPr>
            <w:r w:rsidRPr="00CE6D33">
              <w:t>Кількість банок на закупку</w:t>
            </w:r>
          </w:p>
        </w:tc>
      </w:tr>
      <w:tr w:rsidR="007E5AF9" w:rsidRPr="00CE6D33" w:rsidTr="00F67860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9" w:rsidRPr="00CE6D33" w:rsidRDefault="007E5AF9" w:rsidP="007E5AF9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ind w:left="0" w:hanging="22"/>
              <w:contextualSpacing/>
              <w:jc w:val="both"/>
              <w:rPr>
                <w:i/>
                <w:kern w:val="1"/>
                <w:lang w:eastAsia="ar-SA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F9" w:rsidRPr="00CE6D33" w:rsidRDefault="007E5AF9" w:rsidP="00F67860">
            <w:r w:rsidRPr="00CE6D33">
              <w:rPr>
                <w:b/>
                <w:shd w:val="clear" w:color="auto" w:fill="FFFFFF"/>
              </w:rPr>
              <w:t xml:space="preserve">ФКУ </w:t>
            </w:r>
            <w:r w:rsidRPr="00CE6D33">
              <w:rPr>
                <w:b/>
              </w:rPr>
              <w:t>Нутрі 3 Концентрат (</w:t>
            </w:r>
            <w:proofErr w:type="spellStart"/>
            <w:r w:rsidRPr="00CE6D33">
              <w:rPr>
                <w:b/>
              </w:rPr>
              <w:t>англ.-PKU</w:t>
            </w:r>
            <w:proofErr w:type="spellEnd"/>
            <w:r w:rsidRPr="00CE6D33">
              <w:rPr>
                <w:b/>
              </w:rPr>
              <w:t xml:space="preserve"> Nutri-3-Concentrated) Харчовий продукт для спеціальних медичних цілей: для дітей старше 8 років та дорослих хворих на </w:t>
            </w:r>
            <w:proofErr w:type="spellStart"/>
            <w:r w:rsidRPr="00CE6D33">
              <w:rPr>
                <w:b/>
              </w:rPr>
              <w:t>фенілкетонурію</w:t>
            </w:r>
            <w:proofErr w:type="spellEnd"/>
            <w:r w:rsidRPr="00CE6D33">
              <w:rPr>
                <w:b/>
              </w:rPr>
              <w:t xml:space="preserve"> 500 гр. </w:t>
            </w:r>
            <w:r w:rsidRPr="00CE6D33">
              <w:rPr>
                <w:bCs/>
                <w:i/>
              </w:rPr>
              <w:t>(або еквівалент)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9" w:rsidRPr="00CE6D33" w:rsidRDefault="007E5AF9" w:rsidP="00F67860">
            <w:pPr>
              <w:jc w:val="center"/>
            </w:pPr>
            <w:r>
              <w:t>банка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9" w:rsidRPr="00CE6D33" w:rsidRDefault="007E5AF9" w:rsidP="00F67860">
            <w:pPr>
              <w:keepNext/>
              <w:keepLines/>
              <w:shd w:val="clear" w:color="auto" w:fill="FFFFFF"/>
              <w:ind w:left="142" w:firstLine="2"/>
              <w:jc w:val="center"/>
            </w:pPr>
            <w:r>
              <w:t>19</w:t>
            </w:r>
          </w:p>
        </w:tc>
      </w:tr>
      <w:tr w:rsidR="007E5AF9" w:rsidRPr="00CE6D33" w:rsidTr="00F67860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AF9" w:rsidRPr="00CE6D33" w:rsidRDefault="007E5AF9" w:rsidP="007E5AF9">
            <w:pPr>
              <w:keepNext/>
              <w:keepLines/>
              <w:numPr>
                <w:ilvl w:val="0"/>
                <w:numId w:val="5"/>
              </w:numPr>
              <w:shd w:val="clear" w:color="auto" w:fill="FFFFFF"/>
              <w:ind w:left="0" w:hanging="22"/>
              <w:contextualSpacing/>
              <w:jc w:val="both"/>
              <w:rPr>
                <w:i/>
                <w:kern w:val="1"/>
                <w:lang w:eastAsia="ar-SA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AF9" w:rsidRPr="00CE6D33" w:rsidRDefault="007E5AF9" w:rsidP="00F67860">
            <w:r w:rsidRPr="00CE6D33">
              <w:rPr>
                <w:b/>
              </w:rPr>
              <w:t xml:space="preserve">ФКУ Нутрі 3 </w:t>
            </w:r>
            <w:proofErr w:type="spellStart"/>
            <w:r w:rsidRPr="00CE6D33">
              <w:rPr>
                <w:b/>
              </w:rPr>
              <w:t>Енерджі</w:t>
            </w:r>
            <w:proofErr w:type="spellEnd"/>
            <w:r w:rsidRPr="00CE6D33">
              <w:rPr>
                <w:b/>
              </w:rPr>
              <w:t xml:space="preserve"> (</w:t>
            </w:r>
            <w:proofErr w:type="spellStart"/>
            <w:r w:rsidRPr="00CE6D33">
              <w:rPr>
                <w:b/>
              </w:rPr>
              <w:t>англ.-PKU</w:t>
            </w:r>
            <w:proofErr w:type="spellEnd"/>
            <w:r w:rsidRPr="00CE6D33">
              <w:rPr>
                <w:b/>
              </w:rPr>
              <w:t xml:space="preserve"> Nutri-3-Energy)</w:t>
            </w:r>
            <w:r w:rsidRPr="00CE6D33">
              <w:t xml:space="preserve"> </w:t>
            </w:r>
            <w:r w:rsidRPr="00CE6D33">
              <w:rPr>
                <w:b/>
              </w:rPr>
              <w:t xml:space="preserve">Харчовий продукт для спеціальних медичних цілей: для дітей від 9 років та дорослих та вагітних, хворих на </w:t>
            </w:r>
            <w:proofErr w:type="spellStart"/>
            <w:r w:rsidRPr="00CE6D33">
              <w:rPr>
                <w:b/>
              </w:rPr>
              <w:t>фенілкетонурію</w:t>
            </w:r>
            <w:proofErr w:type="spellEnd"/>
            <w:r w:rsidRPr="00CE6D33">
              <w:rPr>
                <w:b/>
              </w:rPr>
              <w:t xml:space="preserve"> 454 гр. </w:t>
            </w:r>
            <w:r w:rsidRPr="00CE6D33">
              <w:rPr>
                <w:bCs/>
                <w:i/>
              </w:rPr>
              <w:t>(або еквівалент)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9" w:rsidRPr="00CE6D33" w:rsidRDefault="007E5AF9" w:rsidP="00F67860">
            <w:pPr>
              <w:jc w:val="center"/>
            </w:pPr>
            <w:r>
              <w:t>банка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AF9" w:rsidRPr="00CE6D33" w:rsidRDefault="007E5AF9" w:rsidP="00F67860">
            <w:pPr>
              <w:keepNext/>
              <w:keepLines/>
              <w:shd w:val="clear" w:color="auto" w:fill="FFFFFF"/>
              <w:ind w:left="142" w:firstLine="2"/>
              <w:jc w:val="center"/>
            </w:pPr>
            <w:r>
              <w:t>13</w:t>
            </w:r>
          </w:p>
        </w:tc>
      </w:tr>
    </w:tbl>
    <w:p w:rsidR="007E5AF9" w:rsidRPr="00CE6D33" w:rsidRDefault="007E5AF9" w:rsidP="007E5AF9">
      <w:pPr>
        <w:contextualSpacing/>
        <w:jc w:val="both"/>
      </w:pPr>
    </w:p>
    <w:p w:rsidR="007E5AF9" w:rsidRPr="00CE6D33" w:rsidRDefault="007E5AF9" w:rsidP="007E5AF9">
      <w:r w:rsidRPr="00CE6D33">
        <w:rPr>
          <w:b/>
          <w:bCs/>
          <w:i/>
        </w:rPr>
        <w:t>*</w:t>
      </w:r>
      <w:r w:rsidRPr="00CE6D33">
        <w:rPr>
          <w:i/>
        </w:rPr>
        <w:t xml:space="preserve"> ЕКВІВАЛЕНТ: В разі наявності в даному документі посилань на конкретні торговельну марку чи фірму, патент, конструкцію або тип предмета закупівлі, джерело його походження або виробника, після такого посилання слід вважати в наявності вираз «</w:t>
      </w:r>
      <w:r w:rsidRPr="00CE6D33">
        <w:rPr>
          <w:b/>
          <w:i/>
        </w:rPr>
        <w:t>або еквівалент</w:t>
      </w:r>
      <w:r w:rsidRPr="00CE6D33">
        <w:rPr>
          <w:i/>
        </w:rPr>
        <w:t xml:space="preserve">». </w:t>
      </w:r>
      <w:r w:rsidRPr="00CE6D33">
        <w:rPr>
          <w:bCs/>
          <w:i/>
        </w:rPr>
        <w:t xml:space="preserve"> </w:t>
      </w:r>
    </w:p>
    <w:p w:rsidR="007E5AF9" w:rsidRPr="00CE6D33" w:rsidRDefault="007E5AF9" w:rsidP="007E5AF9"/>
    <w:p w:rsidR="007E5AF9" w:rsidRPr="00CE6D33" w:rsidRDefault="007E5AF9" w:rsidP="007E5AF9">
      <w:r w:rsidRPr="00CE6D33">
        <w:t>Еквівалентом вважається еквівалентний товар, який є за своїми описовими, кількісними, фармакологічними та іншими характеристиками є ідентичним товару для закупівлі, зокрема має ідентичні наступні характеристики (ознаками):</w:t>
      </w:r>
    </w:p>
    <w:p w:rsidR="007E5AF9" w:rsidRPr="00CE6D33" w:rsidRDefault="007E5AF9" w:rsidP="007E5AF9">
      <w:r w:rsidRPr="00CE6D33">
        <w:t>(a) Призначення / методи / способи застосування;</w:t>
      </w:r>
    </w:p>
    <w:p w:rsidR="007E5AF9" w:rsidRPr="00CE6D33" w:rsidRDefault="007E5AF9" w:rsidP="007E5AF9">
      <w:r w:rsidRPr="00CE6D33">
        <w:t>(b) Кількість застосувань ( при однакових витратах);</w:t>
      </w:r>
    </w:p>
    <w:p w:rsidR="007E5AF9" w:rsidRPr="00CE6D33" w:rsidRDefault="007E5AF9" w:rsidP="007E5AF9">
      <w:r w:rsidRPr="00CE6D33">
        <w:t>(c) Склад ( в тому числі кількісний та якісний вміст складових), фізичні характеристики;</w:t>
      </w:r>
    </w:p>
    <w:p w:rsidR="007E5AF9" w:rsidRPr="00CE6D33" w:rsidRDefault="007E5AF9" w:rsidP="007E5AF9">
      <w:r w:rsidRPr="00CE6D33">
        <w:t>(d) Небезпечні фактори та вплив на живі організми й довкілля (протипоказання, побічна дія ( ефекти);</w:t>
      </w:r>
    </w:p>
    <w:p w:rsidR="007E5AF9" w:rsidRPr="00CE6D33" w:rsidRDefault="007E5AF9" w:rsidP="007E5AF9">
      <w:r w:rsidRPr="00CE6D33">
        <w:t>(e) взаємодія з іншими лікарськими засобами (речовинами) та інші види взаємодії.</w:t>
      </w:r>
    </w:p>
    <w:p w:rsidR="007E5AF9" w:rsidRPr="00CE6D33" w:rsidRDefault="007E5AF9" w:rsidP="007A3256">
      <w:pPr>
        <w:jc w:val="both"/>
      </w:pPr>
      <w:r w:rsidRPr="00CE6D33">
        <w:lastRenderedPageBreak/>
        <w:t>Документальним підтвердження відповідності запропонованого учасником товару, вимогам  еквівалентності є: порівняльна таблиця якісних та інших характеристик замовленої</w:t>
      </w:r>
      <w:r w:rsidR="007A3256">
        <w:t xml:space="preserve"> </w:t>
      </w:r>
      <w:r w:rsidRPr="00CE6D33">
        <w:t>продукції (товарів, матеріалів, обладнання) та запропонованого їх еквіваленту.</w:t>
      </w:r>
    </w:p>
    <w:p w:rsidR="007E5AF9" w:rsidRPr="00CE6D33" w:rsidRDefault="007E5AF9" w:rsidP="007E5AF9">
      <w:pPr>
        <w:spacing w:after="160" w:line="259" w:lineRule="auto"/>
        <w:jc w:val="both"/>
      </w:pPr>
      <w:r w:rsidRPr="00CE6D33">
        <w:t xml:space="preserve">    У разі, якщо Учасник пропонує до закупівлі еквівалент, він зобов’язаний надати висновок про еквівалентність, який виданий державною установою, яка акредитована на проведення робіт із гігієнічної регламентації.</w:t>
      </w:r>
    </w:p>
    <w:p w:rsidR="00301AEA" w:rsidRPr="0045355E" w:rsidRDefault="00301AEA" w:rsidP="00301AEA">
      <w:pPr>
        <w:shd w:val="clear" w:color="auto" w:fill="FFFFFF"/>
        <w:jc w:val="center"/>
        <w:rPr>
          <w:b/>
          <w:bCs/>
        </w:rPr>
      </w:pPr>
      <w:r w:rsidRPr="0045355E">
        <w:rPr>
          <w:b/>
          <w:bCs/>
        </w:rPr>
        <w:t>Обґрунтування визначення технічних вимог (МТВ) до предмета закупівлі</w:t>
      </w:r>
    </w:p>
    <w:p w:rsidR="00301AEA" w:rsidRPr="0045355E" w:rsidRDefault="00301AEA" w:rsidP="00301AEA">
      <w:pPr>
        <w:shd w:val="clear" w:color="auto" w:fill="FFFFFF"/>
        <w:jc w:val="center"/>
      </w:pPr>
    </w:p>
    <w:p w:rsidR="007A3256" w:rsidRPr="00CE6D33" w:rsidRDefault="007A3256" w:rsidP="007A3256">
      <w:pPr>
        <w:shd w:val="clear" w:color="auto" w:fill="FFFFFF"/>
        <w:ind w:firstLine="709"/>
        <w:jc w:val="both"/>
      </w:pPr>
      <w:r w:rsidRPr="00CE6D33">
        <w:t>При формуванні технічних вимог до продукту, який планується закупити, Замовником обов’язково враховуються висновки лікаря для кожного окремо взятого пацієнта, якому закупляється спеціальне харчування (суміші). Всі ці призначення містяться в історії хвороби таких пацієнтів. Вони являються обґрунтованою підставою того, що Замовнику необхідна закупівля саме продукції з конкретними технічними вимогами, оскільки саме лікарем призначається спеціальне харчування із тими необхідними характеристиками та розрахунками, які максимально дозволяють </w:t>
      </w:r>
      <w:r w:rsidRPr="00CE6D33">
        <w:rPr>
          <w:b/>
          <w:bCs/>
        </w:rPr>
        <w:t>забезпечити можливість відновлення функцій, втрачених за рахунок зміненого стану на фоні захворювання.</w:t>
      </w:r>
    </w:p>
    <w:p w:rsidR="007A3256" w:rsidRPr="00075A0A" w:rsidRDefault="007A3256" w:rsidP="007A3256">
      <w:pPr>
        <w:shd w:val="clear" w:color="auto" w:fill="FFFFFF"/>
        <w:ind w:firstLine="708"/>
        <w:jc w:val="both"/>
      </w:pPr>
      <w:proofErr w:type="spellStart"/>
      <w:r w:rsidRPr="00CE6D33">
        <w:t>Зам</w:t>
      </w:r>
      <w:proofErr w:type="spellEnd"/>
      <w:r w:rsidRPr="00CE6D33">
        <w:t>овник  </w:t>
      </w:r>
      <w:r w:rsidRPr="00CE6D33">
        <w:rPr>
          <w:b/>
          <w:bCs/>
        </w:rPr>
        <w:t>не має законного права, окрім лікаря, який проводив огляд пацієнта та призначав лікування, </w:t>
      </w:r>
      <w:r w:rsidRPr="00CE6D33">
        <w:t>замінювати останньому призначені спеціальні продукти харчування (суміші) з конкретно визначеними медичними характеристиками та необхідним розрахунком в тій чи іншій кількості необхідних компонентів у вмісті продукту.</w:t>
      </w:r>
    </w:p>
    <w:p w:rsidR="007A3256" w:rsidRPr="00075A0A" w:rsidRDefault="007A3256" w:rsidP="007A3256">
      <w:pPr>
        <w:tabs>
          <w:tab w:val="left" w:pos="284"/>
        </w:tabs>
        <w:rPr>
          <w:i/>
        </w:rPr>
      </w:pPr>
    </w:p>
    <w:p w:rsidR="007A3256" w:rsidRPr="00075A0A" w:rsidRDefault="007A3256" w:rsidP="007A3256">
      <w:pPr>
        <w:ind w:firstLine="142"/>
        <w:jc w:val="both"/>
        <w:rPr>
          <w:b/>
          <w:color w:val="00000A"/>
          <w:lang w:eastAsia="zh-CN" w:bidi="hi-IN"/>
        </w:rPr>
      </w:pPr>
      <w:r w:rsidRPr="00B013B9">
        <w:rPr>
          <w:b/>
          <w:color w:val="00000A"/>
          <w:lang w:eastAsia="zh-CN" w:bidi="hi-IN"/>
        </w:rPr>
        <w:t>Додаткові</w:t>
      </w:r>
      <w:r w:rsidRPr="00075A0A">
        <w:rPr>
          <w:b/>
          <w:color w:val="00000A"/>
          <w:lang w:eastAsia="zh-CN" w:bidi="hi-IN"/>
        </w:rPr>
        <w:t xml:space="preserve"> вимоги, що передбачені закупівлею</w:t>
      </w:r>
    </w:p>
    <w:p w:rsidR="007A3256" w:rsidRPr="00075A0A" w:rsidRDefault="007A3256" w:rsidP="007A3256">
      <w:pPr>
        <w:ind w:firstLine="708"/>
        <w:jc w:val="both"/>
        <w:rPr>
          <w:lang w:eastAsia="ar-SA"/>
        </w:rPr>
      </w:pPr>
      <w:r w:rsidRPr="00075A0A">
        <w:rPr>
          <w:lang w:eastAsia="ar-SA"/>
        </w:rPr>
        <w:t>Для підтвердження інформації про відповідність запропонованого товару технічним, якісним характеристикам учасник у складі тендерної пропозиції додатково повинен надати наступні документи:</w:t>
      </w:r>
    </w:p>
    <w:p w:rsidR="007A3256" w:rsidRPr="00075A0A" w:rsidRDefault="007A3256" w:rsidP="007A3256">
      <w:pPr>
        <w:pStyle w:val="2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color w:val="FF0000"/>
          <w:lang w:val="uk-UA"/>
        </w:rPr>
      </w:pPr>
      <w:r w:rsidRPr="00075A0A">
        <w:rPr>
          <w:lang w:val="uk-UA"/>
        </w:rPr>
        <w:t>Копія Свідоцтва про державну реєстрацію товару (з усіма додатками), копія сертифікату якості (паспорта) виробника, копія висновку державної санітарно-епідеміологічної експертизи, або іншого подібного документу, що підтверджує відповідність товару вимогам, встановлених до нього загальнообов’язковими на території України нормами і правилами/ або лист-пояснення, якщо на даний товар не передбачено вище зазначені документи з посиланням на нормативні акти.</w:t>
      </w:r>
    </w:p>
    <w:p w:rsidR="00035423" w:rsidRDefault="00035423" w:rsidP="00653B8D">
      <w:pPr>
        <w:shd w:val="clear" w:color="auto" w:fill="FFFFFF"/>
        <w:jc w:val="both"/>
      </w:pPr>
    </w:p>
    <w:p w:rsidR="00BA110B" w:rsidRPr="00BA110B" w:rsidRDefault="00BA110B" w:rsidP="00BA110B">
      <w:pPr>
        <w:tabs>
          <w:tab w:val="left" w:pos="2100"/>
        </w:tabs>
        <w:spacing w:after="240"/>
        <w:jc w:val="center"/>
        <w:rPr>
          <w:b/>
          <w:bCs/>
          <w:sz w:val="28"/>
          <w:szCs w:val="28"/>
        </w:rPr>
      </w:pPr>
      <w:r w:rsidRPr="00BA110B">
        <w:rPr>
          <w:b/>
          <w:bCs/>
          <w:sz w:val="28"/>
          <w:szCs w:val="28"/>
        </w:rPr>
        <w:t>Обґрунтування розміру бюджетного призначення.</w:t>
      </w:r>
    </w:p>
    <w:p w:rsidR="0019672F" w:rsidRDefault="00BA110B" w:rsidP="00653B8D">
      <w:pPr>
        <w:shd w:val="clear" w:color="auto" w:fill="FFFFFF"/>
        <w:jc w:val="both"/>
      </w:pPr>
      <w:r>
        <w:t>Розмір бюджетного призначення визначено Законом України «Про державний бюджет України на 202</w:t>
      </w:r>
      <w:r w:rsidR="007A3256">
        <w:t>3</w:t>
      </w:r>
      <w:r>
        <w:t xml:space="preserve"> рік» за КПКВК 0712113 «Первинна медична допомога населенню, що надається амбулаторно-поліклінічними закладами (відділеннями)»</w:t>
      </w:r>
      <w:r w:rsidR="0019672F">
        <w:t>,</w:t>
      </w:r>
      <w:r>
        <w:t xml:space="preserve"> </w:t>
      </w:r>
      <w:r w:rsidR="0019672F">
        <w:t xml:space="preserve">КЕКВ 2610 «Субсидії та поточні трансферти підприємствам (установам, організаціям)», за напрямком використання «Медикаменти та перев’язувальні матеріали» відповідно до </w:t>
      </w:r>
      <w:r w:rsidR="00626110">
        <w:t xml:space="preserve">Плану використання </w:t>
      </w:r>
      <w:r w:rsidR="0019672F">
        <w:t>бюджетн</w:t>
      </w:r>
      <w:r w:rsidR="00626110">
        <w:t>их коштів</w:t>
      </w:r>
      <w:r w:rsidR="0019672F">
        <w:t xml:space="preserve"> на 202</w:t>
      </w:r>
      <w:r w:rsidR="007A3256">
        <w:t>3</w:t>
      </w:r>
      <w:r w:rsidR="0019672F">
        <w:t xml:space="preserve"> рік.</w:t>
      </w:r>
    </w:p>
    <w:p w:rsidR="0019672F" w:rsidRDefault="0019672F" w:rsidP="00653B8D">
      <w:pPr>
        <w:shd w:val="clear" w:color="auto" w:fill="FFFFFF"/>
        <w:jc w:val="both"/>
      </w:pPr>
    </w:p>
    <w:p w:rsidR="0019672F" w:rsidRPr="0019672F" w:rsidRDefault="0019672F" w:rsidP="0019672F">
      <w:pPr>
        <w:tabs>
          <w:tab w:val="left" w:pos="2100"/>
        </w:tabs>
        <w:spacing w:after="240"/>
        <w:jc w:val="center"/>
        <w:rPr>
          <w:b/>
          <w:bCs/>
          <w:sz w:val="28"/>
          <w:szCs w:val="28"/>
        </w:rPr>
      </w:pPr>
      <w:r w:rsidRPr="0019672F">
        <w:rPr>
          <w:b/>
          <w:bCs/>
          <w:sz w:val="28"/>
          <w:szCs w:val="28"/>
        </w:rPr>
        <w:t>Обґрунтування очікуваної вартості предмета закупівлі</w:t>
      </w:r>
    </w:p>
    <w:p w:rsidR="00BA110B" w:rsidRDefault="0019672F" w:rsidP="00653B8D">
      <w:pPr>
        <w:shd w:val="clear" w:color="auto" w:fill="FFFFFF"/>
        <w:jc w:val="both"/>
      </w:pPr>
      <w:r>
        <w:t xml:space="preserve"> Очікувана вартість сформована на підставі моніторингу цін на відповідні товари в мережі Інтернет.</w:t>
      </w:r>
    </w:p>
    <w:sectPr w:rsidR="00BA110B" w:rsidSect="001A0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32"/>
    <w:multiLevelType w:val="multilevel"/>
    <w:tmpl w:val="5D7CD108"/>
    <w:lvl w:ilvl="0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1">
    <w:nsid w:val="0C1C3E5F"/>
    <w:multiLevelType w:val="hybridMultilevel"/>
    <w:tmpl w:val="DF460572"/>
    <w:lvl w:ilvl="0" w:tplc="0172F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8D3B48"/>
    <w:multiLevelType w:val="hybridMultilevel"/>
    <w:tmpl w:val="E7B6F66E"/>
    <w:lvl w:ilvl="0" w:tplc="E1AC15C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EFA73C3"/>
    <w:multiLevelType w:val="hybridMultilevel"/>
    <w:tmpl w:val="828E1F70"/>
    <w:lvl w:ilvl="0" w:tplc="0172F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7556"/>
    <w:multiLevelType w:val="hybridMultilevel"/>
    <w:tmpl w:val="5C98C4A8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5516AEF"/>
    <w:multiLevelType w:val="multilevel"/>
    <w:tmpl w:val="1CF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063BF"/>
    <w:multiLevelType w:val="hybridMultilevel"/>
    <w:tmpl w:val="43961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B179D"/>
    <w:multiLevelType w:val="hybridMultilevel"/>
    <w:tmpl w:val="DF460572"/>
    <w:lvl w:ilvl="0" w:tplc="0172F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F1"/>
    <w:rsid w:val="000332F1"/>
    <w:rsid w:val="00035423"/>
    <w:rsid w:val="0019672F"/>
    <w:rsid w:val="00256F31"/>
    <w:rsid w:val="002F7684"/>
    <w:rsid w:val="00301AEA"/>
    <w:rsid w:val="00317366"/>
    <w:rsid w:val="00323D8B"/>
    <w:rsid w:val="00334317"/>
    <w:rsid w:val="0041379A"/>
    <w:rsid w:val="00430B7D"/>
    <w:rsid w:val="004C3DD7"/>
    <w:rsid w:val="00507A75"/>
    <w:rsid w:val="00624FAE"/>
    <w:rsid w:val="00626110"/>
    <w:rsid w:val="00651368"/>
    <w:rsid w:val="00653B8D"/>
    <w:rsid w:val="007A3256"/>
    <w:rsid w:val="007E5AF9"/>
    <w:rsid w:val="0084437A"/>
    <w:rsid w:val="00910690"/>
    <w:rsid w:val="009437EE"/>
    <w:rsid w:val="00A66299"/>
    <w:rsid w:val="00B46D2C"/>
    <w:rsid w:val="00BA110B"/>
    <w:rsid w:val="00CB1EC8"/>
    <w:rsid w:val="00CC1E37"/>
    <w:rsid w:val="00D33C3A"/>
    <w:rsid w:val="00D62C7D"/>
    <w:rsid w:val="00D631DA"/>
    <w:rsid w:val="00DB6998"/>
    <w:rsid w:val="00DB7463"/>
    <w:rsid w:val="00EB15F4"/>
    <w:rsid w:val="00F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D33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2F1"/>
    <w:pPr>
      <w:suppressAutoHyphens/>
      <w:spacing w:after="0" w:line="240" w:lineRule="auto"/>
    </w:pPr>
    <w:rPr>
      <w:rFonts w:ascii="Calibri" w:eastAsia="Calibri" w:hAnsi="Calibri" w:cs="Calibri"/>
      <w:lang w:val="uk-UA" w:eastAsia="ar-SA"/>
    </w:rPr>
  </w:style>
  <w:style w:type="paragraph" w:styleId="a5">
    <w:name w:val="List Paragraph"/>
    <w:basedOn w:val="a"/>
    <w:link w:val="a6"/>
    <w:uiPriority w:val="34"/>
    <w:qFormat/>
    <w:rsid w:val="000332F1"/>
    <w:pPr>
      <w:ind w:left="720"/>
      <w:contextualSpacing/>
    </w:pPr>
  </w:style>
  <w:style w:type="character" w:customStyle="1" w:styleId="apple-converted-space">
    <w:name w:val="apple-converted-space"/>
    <w:basedOn w:val="a0"/>
    <w:rsid w:val="000332F1"/>
  </w:style>
  <w:style w:type="paragraph" w:customStyle="1" w:styleId="rvps2">
    <w:name w:val="rvps2"/>
    <w:basedOn w:val="a"/>
    <w:rsid w:val="000332F1"/>
    <w:pPr>
      <w:spacing w:before="100" w:beforeAutospacing="1" w:after="100" w:afterAutospacing="1"/>
    </w:pPr>
    <w:rPr>
      <w:lang w:val="ru-RU" w:eastAsia="ru-RU"/>
    </w:rPr>
  </w:style>
  <w:style w:type="character" w:customStyle="1" w:styleId="a6">
    <w:name w:val="Абзац списка Знак"/>
    <w:link w:val="a5"/>
    <w:uiPriority w:val="34"/>
    <w:rsid w:val="00301AE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TML">
    <w:name w:val="Стандартный HTML Знак"/>
    <w:link w:val="HTML0"/>
    <w:uiPriority w:val="99"/>
    <w:locked/>
    <w:rsid w:val="00301AEA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301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2"/>
      <w:szCs w:val="22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301AEA"/>
    <w:rPr>
      <w:rFonts w:ascii="Consolas" w:eastAsia="Times New Roman" w:hAnsi="Consolas" w:cs="Consolas"/>
      <w:sz w:val="20"/>
      <w:szCs w:val="20"/>
      <w:lang w:val="uk-UA" w:eastAsia="uk-UA"/>
    </w:rPr>
  </w:style>
  <w:style w:type="character" w:customStyle="1" w:styleId="a4">
    <w:name w:val="Без интервала Знак"/>
    <w:link w:val="a3"/>
    <w:uiPriority w:val="99"/>
    <w:rsid w:val="00301AEA"/>
    <w:rPr>
      <w:rFonts w:ascii="Calibri" w:eastAsia="Calibri" w:hAnsi="Calibri" w:cs="Calibri"/>
      <w:lang w:val="uk-UA" w:eastAsia="ar-SA"/>
    </w:rPr>
  </w:style>
  <w:style w:type="paragraph" w:customStyle="1" w:styleId="11">
    <w:name w:val="Абзац списка1"/>
    <w:basedOn w:val="a"/>
    <w:rsid w:val="00301AEA"/>
    <w:pPr>
      <w:widowControl w:val="0"/>
      <w:suppressAutoHyphens/>
      <w:spacing w:line="100" w:lineRule="atLeast"/>
      <w:ind w:left="720"/>
    </w:pPr>
    <w:rPr>
      <w:rFonts w:ascii="Times New Roman CYR" w:hAnsi="Times New Roman CYR" w:cs="Times New Roman CYR"/>
      <w:kern w:val="1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D3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link w:val="ListParagraphChar"/>
    <w:rsid w:val="007A3256"/>
    <w:pPr>
      <w:ind w:left="720"/>
      <w:contextualSpacing/>
    </w:pPr>
    <w:rPr>
      <w:rFonts w:eastAsia="Calibri"/>
      <w:szCs w:val="20"/>
      <w:lang w:val="ru-RU" w:eastAsia="ru-RU"/>
    </w:rPr>
  </w:style>
  <w:style w:type="character" w:customStyle="1" w:styleId="ListParagraphChar">
    <w:name w:val="List Paragraph Char"/>
    <w:link w:val="2"/>
    <w:locked/>
    <w:rsid w:val="007A325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D63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D33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332F1"/>
    <w:pPr>
      <w:suppressAutoHyphens/>
      <w:spacing w:after="0" w:line="240" w:lineRule="auto"/>
    </w:pPr>
    <w:rPr>
      <w:rFonts w:ascii="Calibri" w:eastAsia="Calibri" w:hAnsi="Calibri" w:cs="Calibri"/>
      <w:lang w:val="uk-UA" w:eastAsia="ar-SA"/>
    </w:rPr>
  </w:style>
  <w:style w:type="paragraph" w:styleId="a5">
    <w:name w:val="List Paragraph"/>
    <w:basedOn w:val="a"/>
    <w:link w:val="a6"/>
    <w:uiPriority w:val="34"/>
    <w:qFormat/>
    <w:rsid w:val="000332F1"/>
    <w:pPr>
      <w:ind w:left="720"/>
      <w:contextualSpacing/>
    </w:pPr>
  </w:style>
  <w:style w:type="character" w:customStyle="1" w:styleId="apple-converted-space">
    <w:name w:val="apple-converted-space"/>
    <w:basedOn w:val="a0"/>
    <w:rsid w:val="000332F1"/>
  </w:style>
  <w:style w:type="paragraph" w:customStyle="1" w:styleId="rvps2">
    <w:name w:val="rvps2"/>
    <w:basedOn w:val="a"/>
    <w:rsid w:val="000332F1"/>
    <w:pPr>
      <w:spacing w:before="100" w:beforeAutospacing="1" w:after="100" w:afterAutospacing="1"/>
    </w:pPr>
    <w:rPr>
      <w:lang w:val="ru-RU" w:eastAsia="ru-RU"/>
    </w:rPr>
  </w:style>
  <w:style w:type="character" w:customStyle="1" w:styleId="a6">
    <w:name w:val="Абзац списка Знак"/>
    <w:link w:val="a5"/>
    <w:uiPriority w:val="34"/>
    <w:rsid w:val="00301AE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TML">
    <w:name w:val="Стандартный HTML Знак"/>
    <w:link w:val="HTML0"/>
    <w:uiPriority w:val="99"/>
    <w:locked/>
    <w:rsid w:val="00301AEA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301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2"/>
      <w:szCs w:val="22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301AEA"/>
    <w:rPr>
      <w:rFonts w:ascii="Consolas" w:eastAsia="Times New Roman" w:hAnsi="Consolas" w:cs="Consolas"/>
      <w:sz w:val="20"/>
      <w:szCs w:val="20"/>
      <w:lang w:val="uk-UA" w:eastAsia="uk-UA"/>
    </w:rPr>
  </w:style>
  <w:style w:type="character" w:customStyle="1" w:styleId="a4">
    <w:name w:val="Без интервала Знак"/>
    <w:link w:val="a3"/>
    <w:uiPriority w:val="99"/>
    <w:rsid w:val="00301AEA"/>
    <w:rPr>
      <w:rFonts w:ascii="Calibri" w:eastAsia="Calibri" w:hAnsi="Calibri" w:cs="Calibri"/>
      <w:lang w:val="uk-UA" w:eastAsia="ar-SA"/>
    </w:rPr>
  </w:style>
  <w:style w:type="paragraph" w:customStyle="1" w:styleId="11">
    <w:name w:val="Абзац списка1"/>
    <w:basedOn w:val="a"/>
    <w:rsid w:val="00301AEA"/>
    <w:pPr>
      <w:widowControl w:val="0"/>
      <w:suppressAutoHyphens/>
      <w:spacing w:line="100" w:lineRule="atLeast"/>
      <w:ind w:left="720"/>
    </w:pPr>
    <w:rPr>
      <w:rFonts w:ascii="Times New Roman CYR" w:hAnsi="Times New Roman CYR" w:cs="Times New Roman CYR"/>
      <w:kern w:val="1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D3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link w:val="ListParagraphChar"/>
    <w:rsid w:val="007A3256"/>
    <w:pPr>
      <w:ind w:left="720"/>
      <w:contextualSpacing/>
    </w:pPr>
    <w:rPr>
      <w:rFonts w:eastAsia="Calibri"/>
      <w:szCs w:val="20"/>
      <w:lang w:val="ru-RU" w:eastAsia="ru-RU"/>
    </w:rPr>
  </w:style>
  <w:style w:type="character" w:customStyle="1" w:styleId="ListParagraphChar">
    <w:name w:val="List Paragraph Char"/>
    <w:link w:val="2"/>
    <w:locked/>
    <w:rsid w:val="007A325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D63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10-27-0064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ГлавБух</cp:lastModifiedBy>
  <cp:revision>4</cp:revision>
  <dcterms:created xsi:type="dcterms:W3CDTF">2023-10-27T10:44:00Z</dcterms:created>
  <dcterms:modified xsi:type="dcterms:W3CDTF">2023-10-27T11:19:00Z</dcterms:modified>
</cp:coreProperties>
</file>